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spacing w:after="120" w:line="360" w:lineRule="auto"/>
        <w:rPr>
          <w:rFonts w:ascii="仿宋_GB2312" w:eastAsia="仿宋_GB2312"/>
          <w:color w:val="auto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</w:rPr>
        <w:t>附件2</w:t>
      </w:r>
    </w:p>
    <w:p>
      <w:pPr>
        <w:pStyle w:val="10"/>
        <w:spacing w:after="120" w:line="360" w:lineRule="auto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儿童艾滋病患者抗病毒治疗标准</w:t>
      </w:r>
    </w:p>
    <w:tbl>
      <w:tblPr>
        <w:tblW w:w="88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134"/>
        <w:gridCol w:w="6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511" w:hRule="atLeast"/>
        </w:trPr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年龄（岁）</w:t>
            </w:r>
          </w:p>
        </w:tc>
        <w:tc>
          <w:tcPr>
            <w:tcW w:w="6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＜１</w:t>
            </w:r>
          </w:p>
        </w:tc>
        <w:tc>
          <w:tcPr>
            <w:tcW w:w="673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全部治疗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１</w:t>
            </w:r>
            <w:bookmarkStart w:id="0" w:name="OLE_LINK4"/>
            <w:r>
              <w:rPr>
                <w:rFonts w:ascii="Arial" w:hAnsi="Arial" w:eastAsia="仿宋_GB2312" w:cs="Arial"/>
                <w:color w:val="auto"/>
                <w:kern w:val="2"/>
                <w:sz w:val="32"/>
                <w:szCs w:val="32"/>
              </w:rPr>
              <w:t>~</w:t>
            </w:r>
            <w:bookmarkEnd w:id="0"/>
            <w:r>
              <w:rPr>
                <w:rFonts w:hint="eastAsia" w:ascii="Arial" w:hAnsi="Arial" w:eastAsia="仿宋_GB2312" w:cs="Arial"/>
                <w:color w:val="auto"/>
                <w:kern w:val="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5</w:t>
            </w:r>
          </w:p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全部治疗（≤2岁或WHO分期Ⅲ、Ⅳ期或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≤750/mm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或CD4％＜25％者优先治疗）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５</w:t>
            </w:r>
            <w:r>
              <w:rPr>
                <w:rFonts w:ascii="Arial" w:hAnsi="Arial" w:eastAsia="仿宋_GB2312" w:cs="Arial"/>
                <w:color w:val="auto"/>
                <w:kern w:val="2"/>
                <w:sz w:val="32"/>
                <w:szCs w:val="32"/>
              </w:rPr>
              <w:t>~</w:t>
            </w:r>
          </w:p>
        </w:tc>
        <w:tc>
          <w:tcPr>
            <w:tcW w:w="6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WHO分期Ⅲ、Ⅳ期或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≤500/mm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者全部治疗（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≤350/mm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者优先治疗）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sectPr>
      <w:pgSz w:w="11906" w:h="16838"/>
      <w:pgMar w:top="1440" w:right="1558" w:bottom="1440" w:left="156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link w:val="14"/>
    <w:semiHidden/>
    <w:uiPriority w:val="99"/>
    <w:pPr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paragraph" w:customStyle="1" w:styleId="8">
    <w:name w:val="样式1"/>
    <w:basedOn w:val="1"/>
    <w:uiPriority w:val="99"/>
    <w:rPr>
      <w:rFonts w:ascii="仿宋_GB2312" w:eastAsia="仿宋_GB2312" w:cs="仿宋_GB2312"/>
      <w:sz w:val="28"/>
      <w:szCs w:val="28"/>
    </w:rPr>
  </w:style>
  <w:style w:type="paragraph" w:customStyle="1" w:styleId="9">
    <w:name w:val="Char1"/>
    <w:basedOn w:val="1"/>
    <w:uiPriority w:val="99"/>
    <w:rPr>
      <w:rFonts w:ascii="Tahoma" w:hAnsi="Tahoma"/>
      <w:sz w:val="24"/>
      <w:szCs w:val="20"/>
    </w:rPr>
  </w:style>
  <w:style w:type="paragraph" w:customStyle="1" w:styleId="10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页眉 Char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正文文本 Char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1</Pages>
  <Words>161</Words>
  <Characters>923</Characters>
  <Lines>7</Lines>
  <Paragraphs>2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2013-07-08T06:22:00Z</dcterms:created>
  <dc:creator>vv</dc:creator>
  <cp:lastModifiedBy>hp</cp:lastModifiedBy>
  <cp:lastPrinted>2014-04-04T01:29:00Z</cp:lastPrinted>
  <dcterms:modified xsi:type="dcterms:W3CDTF">2014-05-13T07:00:52Z</dcterms:modified>
  <dc:title>中华人民共和国卫生部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